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детей с особенностями развития</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детей с особенностями развития»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«Психология детей с особенностями развития».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детей с особенностями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«Психология детей с особенностями развития» относится к обязательной части, является дисциплиной Блока Б1. «Дисциплины (модули)». Модуль "Психобиологическое развитие ребенка"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психолого- педагогического сопровождения детей дошкольного и младшего школьного возраста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диагностике в инклюзивном образовании</w:t>
            </w:r>
          </w:p>
          <w:p>
            <w:pPr>
              <w:jc w:val="center"/>
              <w:spacing w:after="0" w:line="240" w:lineRule="auto"/>
              <w:rPr>
                <w:sz w:val="22"/>
                <w:szCs w:val="22"/>
              </w:rPr>
            </w:pPr>
            <w:r>
              <w:rPr>
                <w:rFonts w:ascii="Times New Roman" w:hAnsi="Times New Roman" w:cs="Times New Roman"/>
                <w:color w:val="#000000"/>
                <w:sz w:val="22"/>
                <w:szCs w:val="22"/>
              </w:rPr>
              <w:t> Практикум по диагностике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Технологии профилактической и коррекционно -развивающей работы с ребенком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Специальное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Опыт работы профессора дефектологии П.И.Соколинского с О.И.Скороходовой.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умственно отсталых детей с сопутствующими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Опыт работы профессора дефектологии П.И.Соколинского с О.И.Скороходовой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Клинико-психологические особенности умственно отсталых детей с сопутствующими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Клинико-психологические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Опыт работы профессора дефектологии П.И.Соколинского с О.И.Скороходовой.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умственно отсталых детей с сопутствующими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27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система специального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I вида, II вида, III вида, IV вида, V вида, VI вида. VII вида, VIII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Опыт работы профессора дефектологии П.И.Соколинского с О.И.Скороходовой.</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w:t>
            </w:r>
          </w:p>
          <w:p>
            <w:pPr>
              <w:jc w:val="both"/>
              <w:spacing w:after="0" w:line="240" w:lineRule="auto"/>
              <w:rPr>
                <w:sz w:val="24"/>
                <w:szCs w:val="24"/>
              </w:rPr>
            </w:pPr>
            <w:r>
              <w:rPr>
                <w:rFonts w:ascii="Times New Roman" w:hAnsi="Times New Roman" w:cs="Times New Roman"/>
                <w:color w:val="#000000"/>
                <w:sz w:val="24"/>
                <w:szCs w:val="24"/>
              </w:rPr>
              <w:t> Социально бытовая адаптация слепоглухих детей при выраженной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Особенности деятельности слепоглухих детей.</w:t>
            </w:r>
          </w:p>
          <w:p>
            <w:pPr>
              <w:jc w:val="both"/>
              <w:spacing w:after="0" w:line="240" w:lineRule="auto"/>
              <w:rPr>
                <w:sz w:val="24"/>
                <w:szCs w:val="24"/>
              </w:rPr>
            </w:pPr>
            <w:r>
              <w:rPr>
                <w:rFonts w:ascii="Times New Roman" w:hAnsi="Times New Roman" w:cs="Times New Roman"/>
                <w:color w:val="#000000"/>
                <w:sz w:val="24"/>
                <w:szCs w:val="24"/>
              </w:rPr>
              <w:t> 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w:t>
            </w:r>
          </w:p>
          <w:p>
            <w:pPr>
              <w:jc w:val="both"/>
              <w:spacing w:after="0" w:line="240" w:lineRule="auto"/>
              <w:rPr>
                <w:sz w:val="24"/>
                <w:szCs w:val="24"/>
              </w:rPr>
            </w:pPr>
            <w:r>
              <w:rPr>
                <w:rFonts w:ascii="Times New Roman" w:hAnsi="Times New Roman" w:cs="Times New Roman"/>
                <w:color w:val="#000000"/>
                <w:sz w:val="24"/>
                <w:szCs w:val="24"/>
              </w:rPr>
              <w:t>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w:t>
            </w:r>
          </w:p>
          <w:p>
            <w:pPr>
              <w:jc w:val="both"/>
              <w:spacing w:after="0" w:line="240" w:lineRule="auto"/>
              <w:rPr>
                <w:sz w:val="24"/>
                <w:szCs w:val="24"/>
              </w:rPr>
            </w:pPr>
            <w:r>
              <w:rPr>
                <w:rFonts w:ascii="Times New Roman" w:hAnsi="Times New Roman" w:cs="Times New Roman"/>
                <w:color w:val="#000000"/>
                <w:sz w:val="24"/>
                <w:szCs w:val="24"/>
              </w:rPr>
              <w:t>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умственно отсталых детей с сопутствующими  нарушениями</w:t>
            </w:r>
          </w:p>
        </w:tc>
      </w:tr>
      <w:tr>
        <w:trPr>
          <w:trHeight w:hRule="exact" w:val="1165.1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pPr>
              <w:jc w:val="both"/>
              <w:spacing w:after="0" w:line="240" w:lineRule="auto"/>
              <w:rPr>
                <w:sz w:val="24"/>
                <w:szCs w:val="24"/>
              </w:rPr>
            </w:pPr>
            <w:r>
              <w:rPr>
                <w:rFonts w:ascii="Times New Roman" w:hAnsi="Times New Roman" w:cs="Times New Roman"/>
                <w:color w:val="#000000"/>
                <w:sz w:val="24"/>
                <w:szCs w:val="24"/>
              </w:rPr>
              <w:t> Этиопатогенез умственной отсталости с нарушением зрения.</w:t>
            </w:r>
          </w:p>
          <w:p>
            <w:pPr>
              <w:jc w:val="both"/>
              <w:spacing w:after="0" w:line="240" w:lineRule="auto"/>
              <w:rPr>
                <w:sz w:val="24"/>
                <w:szCs w:val="24"/>
              </w:rPr>
            </w:pPr>
            <w:r>
              <w:rPr>
                <w:rFonts w:ascii="Times New Roman" w:hAnsi="Times New Roman" w:cs="Times New Roman"/>
                <w:color w:val="#000000"/>
                <w:sz w:val="24"/>
                <w:szCs w:val="24"/>
              </w:rPr>
              <w:t> Эндогенные и экзогенные факторы сложного дефекта.</w:t>
            </w:r>
          </w:p>
          <w:p>
            <w:pPr>
              <w:jc w:val="both"/>
              <w:spacing w:after="0" w:line="240" w:lineRule="auto"/>
              <w:rPr>
                <w:sz w:val="24"/>
                <w:szCs w:val="24"/>
              </w:rPr>
            </w:pPr>
            <w:r>
              <w:rPr>
                <w:rFonts w:ascii="Times New Roman" w:hAnsi="Times New Roman" w:cs="Times New Roman"/>
                <w:color w:val="#000000"/>
                <w:sz w:val="24"/>
                <w:szCs w:val="24"/>
              </w:rPr>
              <w:t> Особенности психических процессов умственно отсталых детей с нарушением зрения.</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коммуникативной функции у умственно отсталых детей с нарушением зрения..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детей с синдромом Дауна.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Синдром Дауна, как классический пример множественного дефекта хромосомного происхождения. Сочетание множественного сенсорного дефекта (нарушения зрения и слуха) и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Конкретность, тугоподвижность мышления при синдроме Дауна. Недоступность абстракций, счётных операций – отличительные особенности мыслительной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Особенности памяти, сохранность механической памяти.</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эмоциональной сферы детей с синдромом Дауна: подражательность, внушаемость, доброжелательность, реже раздражительность, злобность. Нарушение психомоторного развития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Современная система специального образования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1Деятельность Д. Бурневиля в убежище для слабоумных в Биссетре.</w:t>
            </w:r>
          </w:p>
          <w:p>
            <w:pPr>
              <w:jc w:val="both"/>
              <w:spacing w:after="0" w:line="240" w:lineRule="auto"/>
              <w:rPr>
                <w:sz w:val="24"/>
                <w:szCs w:val="24"/>
              </w:rPr>
            </w:pPr>
            <w:r>
              <w:rPr>
                <w:rFonts w:ascii="Times New Roman" w:hAnsi="Times New Roman" w:cs="Times New Roman"/>
                <w:color w:val="#000000"/>
                <w:sz w:val="24"/>
                <w:szCs w:val="24"/>
              </w:rPr>
              <w:t> 2.Взгляды Ж.Филиппа и Г. Поль-Бонкура на детей с легкими формами умственной отсталости, их воспитание и обучение.</w:t>
            </w:r>
          </w:p>
          <w:p>
            <w:pPr>
              <w:jc w:val="both"/>
              <w:spacing w:after="0" w:line="240" w:lineRule="auto"/>
              <w:rPr>
                <w:sz w:val="24"/>
                <w:szCs w:val="24"/>
              </w:rPr>
            </w:pPr>
            <w:r>
              <w:rPr>
                <w:rFonts w:ascii="Times New Roman" w:hAnsi="Times New Roman" w:cs="Times New Roman"/>
                <w:color w:val="#000000"/>
                <w:sz w:val="24"/>
                <w:szCs w:val="24"/>
              </w:rPr>
              <w:t> 3.Представители немецкой лечебной педагогики начала 20-го века, их влияние на европейскую олигофренопедагогику.</w:t>
            </w:r>
          </w:p>
          <w:p>
            <w:pPr>
              <w:jc w:val="both"/>
              <w:spacing w:after="0" w:line="240" w:lineRule="auto"/>
              <w:rPr>
                <w:sz w:val="24"/>
                <w:szCs w:val="24"/>
              </w:rPr>
            </w:pPr>
            <w:r>
              <w:rPr>
                <w:rFonts w:ascii="Times New Roman" w:hAnsi="Times New Roman" w:cs="Times New Roman"/>
                <w:color w:val="#000000"/>
                <w:sz w:val="24"/>
                <w:szCs w:val="24"/>
              </w:rPr>
              <w:t> 4.Практическая деятельность Ж. Демора и О. Декроли</w:t>
            </w:r>
          </w:p>
          <w:p>
            <w:pPr>
              <w:jc w:val="both"/>
              <w:spacing w:after="0" w:line="240" w:lineRule="auto"/>
              <w:rPr>
                <w:sz w:val="24"/>
                <w:szCs w:val="24"/>
              </w:rPr>
            </w:pPr>
            <w:r>
              <w:rPr>
                <w:rFonts w:ascii="Times New Roman" w:hAnsi="Times New Roman" w:cs="Times New Roman"/>
                <w:color w:val="#000000"/>
                <w:sz w:val="24"/>
                <w:szCs w:val="24"/>
              </w:rPr>
              <w:t> 5.Разработка Л. С. Выготским проблемы особенностей развития умственно отсталого ребенка.</w:t>
            </w:r>
          </w:p>
          <w:p>
            <w:pPr>
              <w:jc w:val="both"/>
              <w:spacing w:after="0" w:line="240" w:lineRule="auto"/>
              <w:rPr>
                <w:sz w:val="24"/>
                <w:szCs w:val="24"/>
              </w:rPr>
            </w:pPr>
            <w:r>
              <w:rPr>
                <w:rFonts w:ascii="Times New Roman" w:hAnsi="Times New Roman" w:cs="Times New Roman"/>
                <w:color w:val="#000000"/>
                <w:sz w:val="24"/>
                <w:szCs w:val="24"/>
              </w:rPr>
              <w:t> 2. Л. С. Выготский о воспитании и обучении умственно отсталых детей.</w:t>
            </w:r>
          </w:p>
          <w:p>
            <w:pPr>
              <w:jc w:val="both"/>
              <w:spacing w:after="0" w:line="240" w:lineRule="auto"/>
              <w:rPr>
                <w:sz w:val="24"/>
                <w:szCs w:val="24"/>
              </w:rPr>
            </w:pPr>
            <w:r>
              <w:rPr>
                <w:rFonts w:ascii="Times New Roman" w:hAnsi="Times New Roman" w:cs="Times New Roman"/>
                <w:color w:val="#000000"/>
                <w:sz w:val="24"/>
                <w:szCs w:val="24"/>
              </w:rPr>
              <w:t> 3. Развитие идей Л.С. Выготского в современной олигофренопедагогике</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Опыт работы профессора дефектологии П.И.Соколинского с О.И.Скороходовой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Виды деятельности: лепка, моделирование, рисование, игра в формировании представлений об окружающем мире.</w:t>
            </w:r>
          </w:p>
          <w:p>
            <w:pPr>
              <w:jc w:val="both"/>
              <w:spacing w:after="0" w:line="240" w:lineRule="auto"/>
              <w:rPr>
                <w:sz w:val="24"/>
                <w:szCs w:val="24"/>
              </w:rPr>
            </w:pPr>
            <w:r>
              <w:rPr>
                <w:rFonts w:ascii="Times New Roman" w:hAnsi="Times New Roman" w:cs="Times New Roman"/>
                <w:color w:val="#000000"/>
                <w:sz w:val="24"/>
                <w:szCs w:val="24"/>
              </w:rPr>
              <w:t> 2. Развитие личности слепоглухого ребёнка.</w:t>
            </w:r>
          </w:p>
          <w:p>
            <w:pPr>
              <w:jc w:val="both"/>
              <w:spacing w:after="0" w:line="240" w:lineRule="auto"/>
              <w:rPr>
                <w:sz w:val="24"/>
                <w:szCs w:val="24"/>
              </w:rPr>
            </w:pPr>
            <w:r>
              <w:rPr>
                <w:rFonts w:ascii="Times New Roman" w:hAnsi="Times New Roman" w:cs="Times New Roman"/>
                <w:color w:val="#000000"/>
                <w:sz w:val="24"/>
                <w:szCs w:val="24"/>
              </w:rPr>
              <w:t> 3. Обучение детей совместным со взрослым действиям, развитие самостоятельности.</w:t>
            </w:r>
          </w:p>
          <w:p>
            <w:pPr>
              <w:jc w:val="both"/>
              <w:spacing w:after="0" w:line="240" w:lineRule="auto"/>
              <w:rPr>
                <w:sz w:val="24"/>
                <w:szCs w:val="24"/>
              </w:rPr>
            </w:pPr>
            <w:r>
              <w:rPr>
                <w:rFonts w:ascii="Times New Roman" w:hAnsi="Times New Roman" w:cs="Times New Roman"/>
                <w:color w:val="#000000"/>
                <w:sz w:val="24"/>
                <w:szCs w:val="24"/>
              </w:rPr>
              <w:t> 1.	Раскройте особенности деятельности слепоглухих детей.</w:t>
            </w:r>
          </w:p>
          <w:p>
            <w:pPr>
              <w:jc w:val="both"/>
              <w:spacing w:after="0" w:line="240" w:lineRule="auto"/>
              <w:rPr>
                <w:sz w:val="24"/>
                <w:szCs w:val="24"/>
              </w:rPr>
            </w:pPr>
            <w:r>
              <w:rPr>
                <w:rFonts w:ascii="Times New Roman" w:hAnsi="Times New Roman" w:cs="Times New Roman"/>
                <w:color w:val="#000000"/>
                <w:sz w:val="24"/>
                <w:szCs w:val="24"/>
              </w:rPr>
              <w:t> 5. Раскройте направления и содержание работы по формированию и развитию самостоятельности у слепоглухих детей.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Клинико-психологические особенности умственно отсталых детей с сопутствующими  нарушениями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Этиопатогенез умственной отсталости с нарушением зрения.</w:t>
            </w:r>
          </w:p>
          <w:p>
            <w:pPr>
              <w:jc w:val="both"/>
              <w:spacing w:after="0" w:line="240" w:lineRule="auto"/>
              <w:rPr>
                <w:sz w:val="24"/>
                <w:szCs w:val="24"/>
              </w:rPr>
            </w:pPr>
            <w:r>
              <w:rPr>
                <w:rFonts w:ascii="Times New Roman" w:hAnsi="Times New Roman" w:cs="Times New Roman"/>
                <w:color w:val="#000000"/>
                <w:sz w:val="24"/>
                <w:szCs w:val="24"/>
              </w:rPr>
              <w:t> 2.Эндогенные и экзогенные факторы сложного дефекта.</w:t>
            </w:r>
          </w:p>
          <w:p>
            <w:pPr>
              <w:jc w:val="both"/>
              <w:spacing w:after="0" w:line="240" w:lineRule="auto"/>
              <w:rPr>
                <w:sz w:val="24"/>
                <w:szCs w:val="24"/>
              </w:rPr>
            </w:pPr>
            <w:r>
              <w:rPr>
                <w:rFonts w:ascii="Times New Roman" w:hAnsi="Times New Roman" w:cs="Times New Roman"/>
                <w:color w:val="#000000"/>
                <w:sz w:val="24"/>
                <w:szCs w:val="24"/>
              </w:rPr>
              <w:t> 3.Особенности психических процессов умственно отсталых детей с нарушением зрения.</w:t>
            </w:r>
          </w:p>
          <w:p>
            <w:pPr>
              <w:jc w:val="both"/>
              <w:spacing w:after="0" w:line="240" w:lineRule="auto"/>
              <w:rPr>
                <w:sz w:val="24"/>
                <w:szCs w:val="24"/>
              </w:rPr>
            </w:pPr>
            <w:r>
              <w:rPr>
                <w:rFonts w:ascii="Times New Roman" w:hAnsi="Times New Roman" w:cs="Times New Roman"/>
                <w:color w:val="#000000"/>
                <w:sz w:val="24"/>
                <w:szCs w:val="24"/>
              </w:rPr>
              <w:t> 4.Особенности формирования коммуникативной функции у умственно отсталых детей с нарушением зрения..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Клинико-психологические особенности детей с синдромом Дауна.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Дети с нарушениями поведения.</w:t>
            </w:r>
          </w:p>
          <w:p>
            <w:pPr>
              <w:jc w:val="both"/>
              <w:spacing w:after="0" w:line="240" w:lineRule="auto"/>
              <w:rPr>
                <w:sz w:val="24"/>
                <w:szCs w:val="24"/>
              </w:rPr>
            </w:pPr>
            <w:r>
              <w:rPr>
                <w:rFonts w:ascii="Times New Roman" w:hAnsi="Times New Roman" w:cs="Times New Roman"/>
                <w:color w:val="#000000"/>
                <w:sz w:val="24"/>
                <w:szCs w:val="24"/>
              </w:rPr>
              <w:t> 2.	Особенности обучения и воспитания детей с нарушениями интеллектуального развития.</w:t>
            </w:r>
          </w:p>
          <w:p>
            <w:pPr>
              <w:jc w:val="both"/>
              <w:spacing w:after="0" w:line="240" w:lineRule="auto"/>
              <w:rPr>
                <w:sz w:val="24"/>
                <w:szCs w:val="24"/>
              </w:rPr>
            </w:pPr>
            <w:r>
              <w:rPr>
                <w:rFonts w:ascii="Times New Roman" w:hAnsi="Times New Roman" w:cs="Times New Roman"/>
                <w:color w:val="#000000"/>
                <w:sz w:val="24"/>
                <w:szCs w:val="24"/>
              </w:rPr>
              <w:t> 3.	Знакомство с документальными материалами по теме</w:t>
            </w:r>
          </w:p>
          <w:p>
            <w:pPr>
              <w:jc w:val="both"/>
              <w:spacing w:after="0" w:line="240" w:lineRule="auto"/>
              <w:rPr>
                <w:sz w:val="24"/>
                <w:szCs w:val="24"/>
              </w:rPr>
            </w:pPr>
            <w:r>
              <w:rPr>
                <w:rFonts w:ascii="Times New Roman" w:hAnsi="Times New Roman" w:cs="Times New Roman"/>
                <w:color w:val="#000000"/>
                <w:sz w:val="24"/>
                <w:szCs w:val="24"/>
              </w:rPr>
              <w:t> 4.	 Доклады по теме «Ребенок с синдромом Дауна в семье», «Современная коррекционная школа, коррекционный класс».</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система специального образования.</w:t>
            </w:r>
          </w:p>
        </w:tc>
      </w:tr>
      <w:tr>
        <w:trPr>
          <w:trHeight w:hRule="exact" w:val="21.31495"/>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I вида, II вида, III вида, IV вида, V вида, VI вида. VII вида, VIII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развития слепоглухих детей.</w:t>
            </w:r>
          </w:p>
          <w:p>
            <w:pPr>
              <w:jc w:val="left"/>
              <w:spacing w:after="0" w:line="240" w:lineRule="auto"/>
              <w:rPr>
                <w:sz w:val="24"/>
                <w:szCs w:val="24"/>
              </w:rPr>
            </w:pPr>
            <w:r>
              <w:rPr>
                <w:rFonts w:ascii="Times New Roman" w:hAnsi="Times New Roman" w:cs="Times New Roman"/>
                <w:color w:val="#000000"/>
                <w:sz w:val="24"/>
                <w:szCs w:val="24"/>
              </w:rPr>
              <w:t> 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pPr>
              <w:jc w:val="left"/>
              <w:spacing w:after="0" w:line="240" w:lineRule="auto"/>
              <w:rPr>
                <w:sz w:val="24"/>
                <w:szCs w:val="24"/>
              </w:rPr>
            </w:pPr>
            <w:r>
              <w:rPr>
                <w:rFonts w:ascii="Times New Roman" w:hAnsi="Times New Roman" w:cs="Times New Roman"/>
                <w:color w:val="#000000"/>
                <w:sz w:val="24"/>
                <w:szCs w:val="24"/>
              </w:rPr>
              <w:t> 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Опыт работы профессора дефектологии П.И.Соколинского с О.И.Скороходовой.</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w:t>
            </w:r>
          </w:p>
          <w:p>
            <w:pPr>
              <w:jc w:val="left"/>
              <w:spacing w:after="0" w:line="240" w:lineRule="auto"/>
              <w:rPr>
                <w:sz w:val="24"/>
                <w:szCs w:val="24"/>
              </w:rPr>
            </w:pPr>
            <w:r>
              <w:rPr>
                <w:rFonts w:ascii="Times New Roman" w:hAnsi="Times New Roman" w:cs="Times New Roman"/>
                <w:color w:val="#000000"/>
                <w:sz w:val="24"/>
                <w:szCs w:val="24"/>
              </w:rPr>
              <w:t> Социально бытовая адаптация слепоглухих детей при выраженной умственной отсталости.</w:t>
            </w:r>
          </w:p>
          <w:p>
            <w:pPr>
              <w:jc w:val="left"/>
              <w:spacing w:after="0" w:line="240" w:lineRule="auto"/>
              <w:rPr>
                <w:sz w:val="24"/>
                <w:szCs w:val="24"/>
              </w:rPr>
            </w:pPr>
            <w:r>
              <w:rPr>
                <w:rFonts w:ascii="Times New Roman" w:hAnsi="Times New Roman" w:cs="Times New Roman"/>
                <w:color w:val="#000000"/>
                <w:sz w:val="24"/>
                <w:szCs w:val="24"/>
              </w:rPr>
              <w:t> Особенности деятельности слепоглухих детей.</w:t>
            </w:r>
          </w:p>
          <w:p>
            <w:pPr>
              <w:jc w:val="left"/>
              <w:spacing w:after="0" w:line="240" w:lineRule="auto"/>
              <w:rPr>
                <w:sz w:val="24"/>
                <w:szCs w:val="24"/>
              </w:rPr>
            </w:pPr>
            <w:r>
              <w:rPr>
                <w:rFonts w:ascii="Times New Roman" w:hAnsi="Times New Roman" w:cs="Times New Roman"/>
                <w:color w:val="#000000"/>
                <w:sz w:val="24"/>
                <w:szCs w:val="24"/>
              </w:rPr>
              <w:t> 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w:t>
            </w:r>
          </w:p>
          <w:p>
            <w:pPr>
              <w:jc w:val="left"/>
              <w:spacing w:after="0" w:line="240" w:lineRule="auto"/>
              <w:rPr>
                <w:sz w:val="24"/>
                <w:szCs w:val="24"/>
              </w:rPr>
            </w:pPr>
            <w:r>
              <w:rPr>
                <w:rFonts w:ascii="Times New Roman" w:hAnsi="Times New Roman" w:cs="Times New Roman"/>
                <w:color w:val="#000000"/>
                <w:sz w:val="24"/>
                <w:szCs w:val="24"/>
              </w:rPr>
              <w:t>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w:t>
            </w:r>
          </w:p>
          <w:p>
            <w:pPr>
              <w:jc w:val="left"/>
              <w:spacing w:after="0" w:line="240" w:lineRule="auto"/>
              <w:rPr>
                <w:sz w:val="24"/>
                <w:szCs w:val="24"/>
              </w:rPr>
            </w:pPr>
            <w:r>
              <w:rPr>
                <w:rFonts w:ascii="Times New Roman" w:hAnsi="Times New Roman" w:cs="Times New Roman"/>
                <w:color w:val="#000000"/>
                <w:sz w:val="24"/>
                <w:szCs w:val="24"/>
              </w:rPr>
              <w:t>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умственно отсталых детей с сопутствующими  нарушениями</w:t>
            </w:r>
          </w:p>
        </w:tc>
      </w:tr>
      <w:tr>
        <w:trPr>
          <w:trHeight w:hRule="exact" w:val="21.31518"/>
        </w:trPr>
        <w:tc>
          <w:tcPr>
            <w:tcW w:w="9640" w:type="dxa"/>
          </w:tcPr>
          <w:p/>
        </w:tc>
      </w:tr>
      <w:tr>
        <w:trPr>
          <w:trHeight w:hRule="exact" w:val="1620.8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pPr>
              <w:jc w:val="left"/>
              <w:spacing w:after="0" w:line="240" w:lineRule="auto"/>
              <w:rPr>
                <w:sz w:val="24"/>
                <w:szCs w:val="24"/>
              </w:rPr>
            </w:pPr>
            <w:r>
              <w:rPr>
                <w:rFonts w:ascii="Times New Roman" w:hAnsi="Times New Roman" w:cs="Times New Roman"/>
                <w:color w:val="#000000"/>
                <w:sz w:val="24"/>
                <w:szCs w:val="24"/>
              </w:rPr>
              <w:t> Кожная чувствительность и двигательная память, как способ познания окружающего.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остаточного зрения и слуха в познавательной деятельности слепоглухих детей.</w:t>
            </w:r>
          </w:p>
          <w:p>
            <w:pPr>
              <w:jc w:val="left"/>
              <w:spacing w:after="0" w:line="240" w:lineRule="auto"/>
              <w:rPr>
                <w:sz w:val="24"/>
                <w:szCs w:val="24"/>
              </w:rPr>
            </w:pPr>
            <w:r>
              <w:rPr>
                <w:rFonts w:ascii="Times New Roman" w:hAnsi="Times New Roman" w:cs="Times New Roman"/>
                <w:color w:val="#000000"/>
                <w:sz w:val="24"/>
                <w:szCs w:val="24"/>
              </w:rPr>
              <w:t> Этиопатогенез умственной отсталости с нарушением зрения.</w:t>
            </w:r>
          </w:p>
          <w:p>
            <w:pPr>
              <w:jc w:val="left"/>
              <w:spacing w:after="0" w:line="240" w:lineRule="auto"/>
              <w:rPr>
                <w:sz w:val="24"/>
                <w:szCs w:val="24"/>
              </w:rPr>
            </w:pPr>
            <w:r>
              <w:rPr>
                <w:rFonts w:ascii="Times New Roman" w:hAnsi="Times New Roman" w:cs="Times New Roman"/>
                <w:color w:val="#000000"/>
                <w:sz w:val="24"/>
                <w:szCs w:val="24"/>
              </w:rPr>
              <w:t> Эндогенные и экзогенные факторы сложного дефекта.</w:t>
            </w:r>
          </w:p>
          <w:p>
            <w:pPr>
              <w:jc w:val="left"/>
              <w:spacing w:after="0" w:line="240" w:lineRule="auto"/>
              <w:rPr>
                <w:sz w:val="24"/>
                <w:szCs w:val="24"/>
              </w:rPr>
            </w:pPr>
            <w:r>
              <w:rPr>
                <w:rFonts w:ascii="Times New Roman" w:hAnsi="Times New Roman" w:cs="Times New Roman"/>
                <w:color w:val="#000000"/>
                <w:sz w:val="24"/>
                <w:szCs w:val="24"/>
              </w:rPr>
              <w:t> Особенности психических процессов умственно отсталых детей с нарушением зрения.</w:t>
            </w:r>
          </w:p>
          <w:p>
            <w:pPr>
              <w:jc w:val="left"/>
              <w:spacing w:after="0" w:line="240" w:lineRule="auto"/>
              <w:rPr>
                <w:sz w:val="24"/>
                <w:szCs w:val="24"/>
              </w:rPr>
            </w:pPr>
            <w:r>
              <w:rPr>
                <w:rFonts w:ascii="Times New Roman" w:hAnsi="Times New Roman" w:cs="Times New Roman"/>
                <w:color w:val="#000000"/>
                <w:sz w:val="24"/>
                <w:szCs w:val="24"/>
              </w:rPr>
              <w:t> Особенности формирования коммуникативной функции у умственно отсталых детей с нарушением зрения..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детей с синдромом Дауна.</w:t>
            </w:r>
          </w:p>
        </w:tc>
      </w:tr>
      <w:tr>
        <w:trPr>
          <w:trHeight w:hRule="exact" w:val="21.31495"/>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Синдром Дауна, как классический пример множественного дефекта хромосомного происхождения. Сочетание множественного сенсорного дефекта (нарушения зрения и слуха) и умственной отсталости.</w:t>
            </w:r>
          </w:p>
          <w:p>
            <w:pPr>
              <w:jc w:val="left"/>
              <w:spacing w:after="0" w:line="240" w:lineRule="auto"/>
              <w:rPr>
                <w:sz w:val="24"/>
                <w:szCs w:val="24"/>
              </w:rPr>
            </w:pPr>
            <w:r>
              <w:rPr>
                <w:rFonts w:ascii="Times New Roman" w:hAnsi="Times New Roman" w:cs="Times New Roman"/>
                <w:color w:val="#000000"/>
                <w:sz w:val="24"/>
                <w:szCs w:val="24"/>
              </w:rPr>
              <w:t> Конкретность, тугоподвижность мышления при синдроме Дауна. Недоступность абстракций, счётных операций – отличительные особенности мыслительной деятельности.</w:t>
            </w:r>
          </w:p>
          <w:p>
            <w:pPr>
              <w:jc w:val="left"/>
              <w:spacing w:after="0" w:line="240" w:lineRule="auto"/>
              <w:rPr>
                <w:sz w:val="24"/>
                <w:szCs w:val="24"/>
              </w:rPr>
            </w:pPr>
            <w:r>
              <w:rPr>
                <w:rFonts w:ascii="Times New Roman" w:hAnsi="Times New Roman" w:cs="Times New Roman"/>
                <w:color w:val="#000000"/>
                <w:sz w:val="24"/>
                <w:szCs w:val="24"/>
              </w:rPr>
              <w:t> Особенности памяти, сохранность механической памяти.</w:t>
            </w:r>
          </w:p>
          <w:p>
            <w:pPr>
              <w:jc w:val="left"/>
              <w:spacing w:after="0" w:line="240" w:lineRule="auto"/>
              <w:rPr>
                <w:sz w:val="24"/>
                <w:szCs w:val="24"/>
              </w:rPr>
            </w:pPr>
            <w:r>
              <w:rPr>
                <w:rFonts w:ascii="Times New Roman" w:hAnsi="Times New Roman" w:cs="Times New Roman"/>
                <w:color w:val="#000000"/>
                <w:sz w:val="24"/>
                <w:szCs w:val="24"/>
              </w:rPr>
              <w:t> Отличительные особенности эмоциональной сферы детей с синдромом Дауна: подражательность, внушаемость, доброжелательность, реже раздражительность, злобность. Нарушение психомоторного развития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детей с особенностями развития»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Олигофренопедагогика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Годовникова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https://urait.ru/bcode/446758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https://urait.ru/bcode/414112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302.378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Школьный</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https://urait.ru/bcode/454295</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2023-2024_ФГОС3++2023_Маг-ОФО-ППО(ДПП)(23)_plx_Психология детей с особенностями развития</dc:title>
  <dc:creator>FastReport.NET</dc:creator>
</cp:coreProperties>
</file>